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theme/theme1.xml" ContentType="application/vnd.openxmlformats-officedocument.theme+xml"/>
  <Override PartName="/word/styles.xml" ContentType="application/vnd.openxmlformats-officedocument.wordprocessingml.style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tbl>
      <w:tblPr>
        <w:tblW w:w="9242" w:type="dxa"/>
        <w:jc w:val="left"/>
        <w:tblInd w:w="0" w:type="dxa"/>
        <w:tblLayout w:type="fixed"/>
        <w:tblCellMar>
          <w:top w:w="0" w:type="dxa"/>
          <w:left w:w="108" w:type="dxa"/>
          <w:bottom w:w="0" w:type="dxa"/>
          <w:right w:w="108" w:type="dxa"/>
        </w:tblCellMar>
        <w:tblLook w:val="01e0"/>
      </w:tblPr>
      <w:tblGrid>
        <w:gridCol w:w="9242"/>
      </w:tblGrid>
      <w:tr>
        <w:trPr/>
        <w:tc>
          <w:tcPr>
            <w:tcW w:w="9242" w:type="dxa"/>
            <w:tcBorders>
              <w:top w:val="single" w:sz="12" w:space="0" w:color="000000"/>
              <w:left w:val="single" w:sz="12" w:space="0" w:color="000000"/>
              <w:bottom w:val="single" w:sz="12" w:space="0" w:color="000000"/>
              <w:right w:val="single" w:sz="12" w:space="0" w:color="000000"/>
            </w:tcBorders>
            <w:shd w:color="auto" w:fill="F2F2F2" w:val="clear"/>
          </w:tcPr>
          <w:p>
            <w:pPr>
              <w:pStyle w:val="Normal"/>
              <w:widowControl w:val="false"/>
              <w:rPr>
                <w:b/>
                <w:b/>
                <w:sz w:val="22"/>
                <w:szCs w:val="22"/>
                <w:lang w:val="sr-CS"/>
              </w:rPr>
            </w:pPr>
            <w:r>
              <w:rPr>
                <w:b/>
                <w:sz w:val="22"/>
                <w:szCs w:val="22"/>
              </w:rPr>
              <w:t>Стандард 5. Курикулум</w:t>
            </w:r>
          </w:p>
          <w:p>
            <w:pPr>
              <w:pStyle w:val="Normal"/>
              <w:widowControl w:val="false"/>
              <w:rPr>
                <w:sz w:val="22"/>
                <w:szCs w:val="22"/>
                <w:lang w:val="sr-CS"/>
              </w:rPr>
            </w:pPr>
            <w:r>
              <w:rPr>
                <w:sz w:val="22"/>
                <w:szCs w:val="22"/>
              </w:rPr>
              <w:t>Курикулум студијског програма садржи листу и структуру обавезних и изборних предмета и модула и њихов опис. Основна изборност уметничких студија уграђена је у главни предмет.</w:t>
            </w:r>
          </w:p>
        </w:tc>
      </w:tr>
      <w:tr>
        <w:trPr/>
        <w:tc>
          <w:tcPr>
            <w:tcW w:w="9242" w:type="dxa"/>
            <w:tcBorders>
              <w:top w:val="single" w:sz="12" w:space="0" w:color="000000"/>
              <w:left w:val="single" w:sz="12" w:space="0" w:color="000000"/>
              <w:bottom w:val="single" w:sz="12" w:space="0" w:color="000000"/>
              <w:right w:val="single" w:sz="12" w:space="0" w:color="000000"/>
            </w:tcBorders>
            <w:shd w:color="auto" w:fill="auto" w:val="clear"/>
          </w:tcPr>
          <w:p>
            <w:pPr>
              <w:pStyle w:val="Normal"/>
              <w:widowControl w:val="false"/>
              <w:rPr>
                <w:bCs/>
                <w:sz w:val="22"/>
                <w:szCs w:val="22"/>
              </w:rPr>
            </w:pPr>
            <w:r>
              <w:rPr>
                <w:bCs/>
                <w:sz w:val="22"/>
                <w:szCs w:val="22"/>
              </w:rPr>
              <w:t xml:space="preserve">The curriculum consists of two years, four semesters, 20 courses (10 mandatory and 10 optional). Each course bears </w:t>
            </w:r>
            <w:r>
              <w:rPr>
                <w:bCs/>
                <w:sz w:val="22"/>
                <w:szCs w:val="22"/>
              </w:rPr>
              <w:t>6</w:t>
            </w:r>
            <w:r>
              <w:rPr>
                <w:bCs/>
                <w:sz w:val="22"/>
                <w:szCs w:val="22"/>
              </w:rPr>
              <w:t xml:space="preserve"> ECTS, except for internship and preparation for writing of master thesis which bear 3 ECTS each, and the master thesis itself which bears 30 ECTS. Courses are evenly distributed so that each semester bears 30 ECTS at the most.</w:t>
            </w:r>
          </w:p>
          <w:p>
            <w:pPr>
              <w:pStyle w:val="Normal"/>
              <w:widowControl w:val="false"/>
              <w:rPr>
                <w:sz w:val="22"/>
                <w:szCs w:val="22"/>
              </w:rPr>
            </w:pPr>
            <w:r>
              <w:rPr>
                <w:sz w:val="22"/>
                <w:szCs w:val="22"/>
              </w:rPr>
            </w:r>
          </w:p>
          <w:p>
            <w:pPr>
              <w:pStyle w:val="Normal"/>
              <w:widowControl w:val="false"/>
              <w:rPr>
                <w:sz w:val="22"/>
                <w:szCs w:val="22"/>
              </w:rPr>
            </w:pPr>
            <w:r>
              <w:rPr>
                <w:sz w:val="22"/>
                <w:szCs w:val="22"/>
              </w:rPr>
              <w:t>In the structure of the study programme at master academic studies the following groups of courses are represented in relation to the total number of ECTS: academic and professional-applicative – abt 70% and general-educational and theoretical-methodological – abt 30%.</w:t>
            </w:r>
          </w:p>
          <w:p>
            <w:pPr>
              <w:pStyle w:val="Normal"/>
              <w:widowControl w:val="false"/>
              <w:jc w:val="both"/>
              <w:rPr>
                <w:bCs/>
                <w:sz w:val="22"/>
                <w:szCs w:val="22"/>
              </w:rPr>
            </w:pPr>
            <w:r>
              <w:rPr>
                <w:bCs/>
                <w:sz w:val="22"/>
                <w:szCs w:val="22"/>
              </w:rPr>
            </w:r>
          </w:p>
          <w:p>
            <w:pPr>
              <w:pStyle w:val="Normal"/>
              <w:widowControl w:val="false"/>
              <w:rPr>
                <w:sz w:val="22"/>
                <w:szCs w:val="22"/>
              </w:rPr>
            </w:pPr>
            <w:r>
              <w:rPr>
                <w:bCs/>
                <w:sz w:val="22"/>
                <w:szCs w:val="22"/>
              </w:rPr>
              <w:t xml:space="preserve">In the first year of studies, students listen to the same curriculum (60 ECTS, i.e. 30 ECTS per semester) at both partner universities – in Belgrade and in Graz: </w:t>
            </w:r>
            <w:r>
              <w:rPr>
                <w:sz w:val="22"/>
                <w:szCs w:val="22"/>
              </w:rPr>
              <w:t xml:space="preserve">Students spend the third semester at the partner University of Graz. Depending on their interest and the topic of their </w:t>
            </w:r>
            <w:r>
              <w:rPr>
                <w:bCs/>
                <w:iCs/>
                <w:sz w:val="22"/>
                <w:szCs w:val="22"/>
              </w:rPr>
              <w:t>master’s thesis, students elect courses amounting to 30 ECTS from the respective discipline taught by the partner university. A list of courses will be provided to the students at the beginning of each semester. At least 3 ECTS credits must be completed through participation in foreign language courses.</w:t>
            </w:r>
          </w:p>
          <w:p>
            <w:pPr>
              <w:pStyle w:val="Normal"/>
              <w:widowControl w:val="false"/>
              <w:rPr>
                <w:bCs/>
                <w:color w:val="FF0000"/>
                <w:sz w:val="22"/>
                <w:szCs w:val="22"/>
              </w:rPr>
            </w:pPr>
            <w:r>
              <w:rPr>
                <w:bCs/>
                <w:color w:val="FF0000"/>
                <w:sz w:val="22"/>
                <w:szCs w:val="22"/>
              </w:rPr>
            </w:r>
          </w:p>
          <w:p>
            <w:pPr>
              <w:pStyle w:val="Normal"/>
              <w:widowControl w:val="false"/>
              <w:rPr>
                <w:sz w:val="22"/>
                <w:szCs w:val="22"/>
              </w:rPr>
            </w:pPr>
            <w:r>
              <w:rPr>
                <w:sz w:val="22"/>
                <w:szCs w:val="22"/>
              </w:rPr>
              <w:t>More detailed information on each course (names and description, type, year and semester, number of ECTS, name of the teacher, aim of the course with expected outcomes, knowledge and competences, prerequisites for attending, course content, recommended literature, teaching methods, manner of assessment of knowledge and grading and other data) are in the Tables 5.1-5.4 (course specifications).</w:t>
            </w:r>
          </w:p>
          <w:p>
            <w:pPr>
              <w:pStyle w:val="Normal"/>
              <w:widowControl w:val="false"/>
              <w:spacing w:lineRule="exact" w:line="269" w:before="10" w:after="0"/>
              <w:rPr>
                <w:sz w:val="22"/>
                <w:szCs w:val="22"/>
              </w:rPr>
            </w:pPr>
            <w:r>
              <w:rPr>
                <w:sz w:val="22"/>
                <w:szCs w:val="22"/>
              </w:rPr>
            </w:r>
          </w:p>
          <w:p>
            <w:pPr>
              <w:pStyle w:val="Normal"/>
              <w:widowControl w:val="false"/>
              <w:spacing w:lineRule="exact" w:line="269" w:before="10" w:after="0"/>
              <w:rPr>
                <w:sz w:val="22"/>
                <w:szCs w:val="22"/>
              </w:rPr>
            </w:pPr>
            <w:r>
              <w:rPr>
                <w:sz w:val="22"/>
                <w:szCs w:val="22"/>
              </w:rPr>
              <w:t>In the structure of the study programme, the share of elective courses is at least 30% of the total ECTS at master studies. The list of elective courses includes at least double number of courses than the number of courses to be chosen.</w:t>
            </w:r>
          </w:p>
          <w:p>
            <w:pPr>
              <w:pStyle w:val="Normal"/>
              <w:widowControl w:val="false"/>
              <w:spacing w:lineRule="exact" w:line="269" w:before="10" w:after="0"/>
              <w:rPr>
                <w:sz w:val="22"/>
                <w:szCs w:val="22"/>
              </w:rPr>
            </w:pPr>
            <w:r>
              <w:rPr>
                <w:sz w:val="22"/>
                <w:szCs w:val="22"/>
              </w:rPr>
            </w:r>
          </w:p>
          <w:p>
            <w:pPr>
              <w:pStyle w:val="Normal"/>
              <w:widowControl w:val="false"/>
              <w:rPr>
                <w:bCs/>
                <w:iCs/>
                <w:sz w:val="24"/>
                <w:szCs w:val="24"/>
              </w:rPr>
            </w:pPr>
            <w:r>
              <w:rPr>
                <w:bCs/>
                <w:sz w:val="22"/>
                <w:szCs w:val="22"/>
              </w:rPr>
              <w:t>The fourth semester is devoted to master thesis. Its writing, presentation and defence carry 30 ECTS</w:t>
            </w:r>
            <w:r>
              <w:rPr>
                <w:bCs/>
                <w:sz w:val="24"/>
                <w:szCs w:val="24"/>
              </w:rPr>
              <w:t>.</w:t>
            </w:r>
          </w:p>
          <w:p>
            <w:pPr>
              <w:pStyle w:val="Normal"/>
              <w:widowControl w:val="false"/>
              <w:jc w:val="both"/>
              <w:rPr>
                <w:b/>
                <w:b/>
                <w:sz w:val="22"/>
                <w:szCs w:val="22"/>
              </w:rPr>
            </w:pPr>
            <w:r>
              <w:rPr>
                <w:b/>
                <w:sz w:val="22"/>
                <w:szCs w:val="22"/>
              </w:rPr>
            </w:r>
          </w:p>
        </w:tc>
      </w:tr>
      <w:tr>
        <w:trPr/>
        <w:tc>
          <w:tcPr>
            <w:tcW w:w="9242" w:type="dxa"/>
            <w:tcBorders>
              <w:top w:val="single" w:sz="12" w:space="0" w:color="000000"/>
              <w:left w:val="single" w:sz="12" w:space="0" w:color="000000"/>
              <w:bottom w:val="single" w:sz="12" w:space="0" w:color="000000"/>
              <w:right w:val="single" w:sz="12" w:space="0" w:color="000000"/>
            </w:tcBorders>
            <w:shd w:color="auto" w:fill="F2F2F2" w:val="clear"/>
          </w:tcPr>
          <w:p>
            <w:pPr>
              <w:pStyle w:val="Normal"/>
              <w:widowControl w:val="false"/>
              <w:pBdr>
                <w:bottom w:val="single" w:sz="6" w:space="1" w:color="000000"/>
              </w:pBdr>
              <w:jc w:val="both"/>
              <w:rPr>
                <w:b/>
                <w:b/>
                <w:sz w:val="22"/>
                <w:szCs w:val="22"/>
                <w:lang w:val="sr-CS"/>
              </w:rPr>
            </w:pPr>
            <w:r>
              <w:rPr>
                <w:b/>
                <w:sz w:val="22"/>
                <w:szCs w:val="22"/>
                <w:lang w:val="sr-CS"/>
              </w:rPr>
              <w:t>Табеле и Прилози за стандард 4:</w:t>
            </w:r>
          </w:p>
          <w:p>
            <w:pPr>
              <w:pStyle w:val="Normal"/>
              <w:widowControl w:val="false"/>
              <w:spacing w:before="0" w:after="60"/>
              <w:jc w:val="both"/>
              <w:rPr>
                <w:sz w:val="22"/>
                <w:szCs w:val="22"/>
                <w:lang w:val="sr-CS"/>
              </w:rPr>
            </w:pPr>
            <w:hyperlink r:id="rId2">
              <w:r>
                <w:rPr>
                  <w:rStyle w:val="InternetLink"/>
                  <w:b/>
                  <w:bCs/>
                  <w:sz w:val="22"/>
                  <w:szCs w:val="22"/>
                  <w:lang w:val="sr-CS"/>
                </w:rPr>
                <w:t>Табела 5.1.</w:t>
              </w:r>
            </w:hyperlink>
            <w:r>
              <w:rPr>
                <w:bCs/>
                <w:sz w:val="22"/>
                <w:szCs w:val="22"/>
                <w:lang w:val="sr-CS"/>
              </w:rPr>
              <w:t xml:space="preserve"> Распоред предмета по семестрима и годинама студија.</w:t>
            </w:r>
          </w:p>
          <w:p>
            <w:pPr>
              <w:pStyle w:val="Normal"/>
              <w:widowControl w:val="false"/>
              <w:jc w:val="both"/>
              <w:rPr>
                <w:bCs/>
                <w:sz w:val="22"/>
                <w:szCs w:val="22"/>
              </w:rPr>
            </w:pPr>
            <w:hyperlink r:id="rId3">
              <w:r>
                <w:rPr>
                  <w:rStyle w:val="InternetLink"/>
                  <w:b/>
                  <w:sz w:val="22"/>
                  <w:szCs w:val="22"/>
                </w:rPr>
                <w:t>Tабелa 5.1 a.</w:t>
              </w:r>
            </w:hyperlink>
            <w:r>
              <w:rPr>
                <w:sz w:val="22"/>
                <w:szCs w:val="22"/>
              </w:rPr>
              <w:t xml:space="preserve"> </w:t>
            </w:r>
            <w:r>
              <w:rPr>
                <w:bCs/>
                <w:sz w:val="22"/>
                <w:szCs w:val="22"/>
              </w:rPr>
              <w:t>Распоред предмета по семестрима и годинама студија за основне струковне студије (ОСС), специјалистичке струковне студије (ССС) и основне академске студије (ОАС).</w:t>
            </w:r>
          </w:p>
          <w:p>
            <w:pPr>
              <w:pStyle w:val="Normal"/>
              <w:widowControl w:val="false"/>
              <w:jc w:val="both"/>
              <w:rPr>
                <w:bCs/>
                <w:sz w:val="22"/>
                <w:szCs w:val="22"/>
              </w:rPr>
            </w:pPr>
            <w:hyperlink r:id="rId4">
              <w:r>
                <w:rPr>
                  <w:rStyle w:val="InternetLink"/>
                  <w:b/>
                  <w:sz w:val="22"/>
                  <w:szCs w:val="22"/>
                </w:rPr>
                <w:t>Tабелa 5.1б.</w:t>
              </w:r>
            </w:hyperlink>
            <w:r>
              <w:rPr>
                <w:sz w:val="22"/>
                <w:szCs w:val="22"/>
              </w:rPr>
              <w:t xml:space="preserve">  </w:t>
            </w:r>
            <w:r>
              <w:rPr>
                <w:bCs/>
                <w:sz w:val="22"/>
                <w:szCs w:val="22"/>
              </w:rPr>
              <w:t>Распоред предмета по семестрима и годинама студија</w:t>
            </w:r>
            <w:r>
              <w:rPr>
                <w:bCs/>
                <w:sz w:val="22"/>
                <w:szCs w:val="22"/>
                <w:lang w:val="sr-CS"/>
              </w:rPr>
              <w:t xml:space="preserve"> за  за студије другог степена студија: МАС,</w:t>
            </w:r>
            <w:r>
              <w:rPr>
                <w:bCs/>
                <w:sz w:val="22"/>
                <w:szCs w:val="22"/>
              </w:rPr>
              <w:t xml:space="preserve"> </w:t>
            </w:r>
            <w:r>
              <w:rPr>
                <w:bCs/>
                <w:sz w:val="22"/>
                <w:szCs w:val="22"/>
                <w:lang w:val="sr-CS"/>
              </w:rPr>
              <w:t>МСС и САС.</w:t>
            </w:r>
          </w:p>
          <w:p>
            <w:pPr>
              <w:pStyle w:val="Normal"/>
              <w:widowControl w:val="false"/>
              <w:jc w:val="both"/>
              <w:rPr>
                <w:bCs/>
                <w:sz w:val="22"/>
                <w:szCs w:val="22"/>
              </w:rPr>
            </w:pPr>
            <w:hyperlink r:id="rId5">
              <w:r>
                <w:rPr>
                  <w:rStyle w:val="InternetLink"/>
                  <w:b/>
                  <w:sz w:val="22"/>
                  <w:szCs w:val="22"/>
                </w:rPr>
                <w:t>Tабелa 5.1в</w:t>
              </w:r>
            </w:hyperlink>
            <w:r>
              <w:rPr>
                <w:b/>
                <w:sz w:val="22"/>
                <w:szCs w:val="22"/>
              </w:rPr>
              <w:t>.</w:t>
            </w:r>
            <w:r>
              <w:rPr>
                <w:sz w:val="22"/>
                <w:szCs w:val="22"/>
              </w:rPr>
              <w:t xml:space="preserve"> </w:t>
            </w:r>
            <w:r>
              <w:rPr>
                <w:bCs/>
                <w:sz w:val="22"/>
                <w:szCs w:val="22"/>
              </w:rPr>
              <w:t>Распоред предмета по семестрима и годинама студија</w:t>
            </w:r>
            <w:r>
              <w:rPr>
                <w:bCs/>
                <w:sz w:val="22"/>
                <w:szCs w:val="22"/>
                <w:lang w:val="sr-CS"/>
              </w:rPr>
              <w:t xml:space="preserve"> за  интегрисане студије</w:t>
            </w:r>
          </w:p>
          <w:p>
            <w:pPr>
              <w:pStyle w:val="Normal"/>
              <w:widowControl w:val="false"/>
              <w:jc w:val="both"/>
              <w:rPr>
                <w:bCs/>
                <w:sz w:val="22"/>
                <w:szCs w:val="22"/>
              </w:rPr>
            </w:pPr>
            <w:hyperlink r:id="rId6">
              <w:r>
                <w:rPr>
                  <w:rStyle w:val="InternetLink"/>
                  <w:b/>
                  <w:bCs/>
                  <w:sz w:val="22"/>
                  <w:szCs w:val="22"/>
                  <w:lang w:val="sr-CS"/>
                </w:rPr>
                <w:t>Табела 5.2.</w:t>
              </w:r>
            </w:hyperlink>
            <w:r>
              <w:rPr>
                <w:bCs/>
                <w:sz w:val="22"/>
                <w:szCs w:val="22"/>
                <w:lang w:val="sr-CS"/>
              </w:rPr>
              <w:t xml:space="preserve"> Спецификација  предмета</w:t>
            </w:r>
            <w:r>
              <w:rPr>
                <w:bCs/>
                <w:sz w:val="22"/>
                <w:szCs w:val="22"/>
              </w:rPr>
              <w:t>.</w:t>
            </w:r>
          </w:p>
          <w:p>
            <w:pPr>
              <w:pStyle w:val="Normal"/>
              <w:widowControl w:val="false"/>
              <w:jc w:val="both"/>
              <w:rPr>
                <w:b/>
                <w:b/>
                <w:bCs/>
                <w:lang w:val="sr-CS"/>
              </w:rPr>
            </w:pPr>
            <w:r>
              <w:rPr>
                <w:b/>
                <w:color w:val="0000FF"/>
                <w:sz w:val="22"/>
                <w:szCs w:val="22"/>
              </w:rPr>
              <w:t>Табела 5.2.а</w:t>
            </w:r>
            <w:r>
              <w:rPr>
                <w:b/>
                <w:color w:val="0000FF"/>
                <w:sz w:val="24"/>
                <w:szCs w:val="24"/>
              </w:rPr>
              <w:t>.</w:t>
            </w:r>
            <w:r>
              <w:rPr>
                <w:bCs/>
                <w:color w:val="FF0000"/>
                <w:sz w:val="24"/>
                <w:szCs w:val="24"/>
                <w:lang w:val="sr-CS"/>
              </w:rPr>
              <w:t xml:space="preserve"> </w:t>
            </w:r>
            <w:r>
              <w:rPr>
                <w:bCs/>
                <w:sz w:val="24"/>
                <w:szCs w:val="24"/>
                <w:lang w:val="sr-CS"/>
              </w:rPr>
              <w:t>Књига предмета - студијски програм  (назив програма</w:t>
            </w:r>
            <w:r>
              <w:rPr>
                <w:bCs/>
                <w:lang w:val="sr-CS"/>
              </w:rPr>
              <w:t>)</w:t>
            </w:r>
          </w:p>
          <w:p>
            <w:pPr>
              <w:pStyle w:val="Normal"/>
              <w:widowControl w:val="false"/>
              <w:spacing w:lineRule="auto" w:line="276" w:before="20" w:after="0"/>
              <w:jc w:val="both"/>
              <w:rPr>
                <w:sz w:val="22"/>
                <w:szCs w:val="22"/>
                <w:lang w:val="ru-RU"/>
              </w:rPr>
            </w:pPr>
            <w:hyperlink r:id="rId7">
              <w:r>
                <w:rPr>
                  <w:rStyle w:val="InternetLink"/>
                  <w:b/>
                  <w:sz w:val="22"/>
                  <w:szCs w:val="22"/>
                </w:rPr>
                <w:t>Табела 5.</w:t>
              </w:r>
              <w:r>
                <w:rPr>
                  <w:rStyle w:val="InternetLink"/>
                  <w:b/>
                  <w:sz w:val="22"/>
                  <w:szCs w:val="22"/>
                  <w:lang w:val="ru-RU"/>
                </w:rPr>
                <w:t>3</w:t>
              </w:r>
              <w:r>
                <w:rPr>
                  <w:rStyle w:val="InternetLink"/>
                  <w:sz w:val="22"/>
                  <w:szCs w:val="22"/>
                </w:rPr>
                <w:t xml:space="preserve"> </w:t>
              </w:r>
            </w:hyperlink>
            <w:r>
              <w:rPr>
                <w:sz w:val="22"/>
                <w:szCs w:val="22"/>
                <w:lang w:val="ru-RU"/>
              </w:rPr>
              <w:t xml:space="preserve"> </w:t>
            </w:r>
            <w:r>
              <w:rPr>
                <w:sz w:val="22"/>
                <w:szCs w:val="22"/>
              </w:rPr>
              <w:t xml:space="preserve">Изборна настава </w:t>
            </w:r>
            <w:r>
              <w:rPr>
                <w:sz w:val="22"/>
                <w:szCs w:val="22"/>
                <w:lang w:val="ru-RU"/>
              </w:rPr>
              <w:t>на с</w:t>
            </w:r>
            <w:r>
              <w:rPr>
                <w:sz w:val="22"/>
                <w:szCs w:val="22"/>
              </w:rPr>
              <w:t>тудијск</w:t>
            </w:r>
            <w:r>
              <w:rPr>
                <w:sz w:val="22"/>
                <w:szCs w:val="22"/>
                <w:lang w:val="ru-RU"/>
              </w:rPr>
              <w:t xml:space="preserve">ом </w:t>
            </w:r>
            <w:r>
              <w:rPr>
                <w:sz w:val="22"/>
                <w:szCs w:val="22"/>
              </w:rPr>
              <w:t xml:space="preserve"> програм</w:t>
            </w:r>
            <w:r>
              <w:rPr>
                <w:sz w:val="22"/>
                <w:szCs w:val="22"/>
                <w:lang w:val="ru-RU"/>
              </w:rPr>
              <w:t>у</w:t>
            </w:r>
            <w:r>
              <w:rPr>
                <w:sz w:val="22"/>
                <w:szCs w:val="22"/>
              </w:rPr>
              <w:t>.</w:t>
            </w:r>
          </w:p>
          <w:p>
            <w:pPr>
              <w:pStyle w:val="Normal"/>
              <w:widowControl w:val="false"/>
              <w:spacing w:before="0" w:after="60"/>
              <w:jc w:val="both"/>
              <w:rPr>
                <w:sz w:val="22"/>
                <w:szCs w:val="22"/>
                <w:lang w:val="sr-CS"/>
              </w:rPr>
            </w:pPr>
            <w:hyperlink r:id="rId8">
              <w:r>
                <w:rPr>
                  <w:rStyle w:val="InternetLink"/>
                  <w:b/>
                  <w:sz w:val="22"/>
                  <w:szCs w:val="22"/>
                </w:rPr>
                <w:t>Табела 5.</w:t>
              </w:r>
              <w:r>
                <w:rPr>
                  <w:rStyle w:val="InternetLink"/>
                  <w:b/>
                  <w:sz w:val="22"/>
                  <w:szCs w:val="22"/>
                  <w:lang w:val="ru-RU"/>
                </w:rPr>
                <w:t>4</w:t>
              </w:r>
              <w:r>
                <w:rPr>
                  <w:rStyle w:val="InternetLink"/>
                  <w:b/>
                  <w:sz w:val="22"/>
                  <w:szCs w:val="22"/>
                </w:rPr>
                <w:t>.</w:t>
              </w:r>
            </w:hyperlink>
            <w:r>
              <w:rPr>
                <w:sz w:val="22"/>
                <w:szCs w:val="22"/>
              </w:rPr>
              <w:t xml:space="preserve"> </w:t>
            </w:r>
            <w:r>
              <w:rPr>
                <w:sz w:val="22"/>
                <w:szCs w:val="22"/>
                <w:lang w:val="ru-RU"/>
              </w:rPr>
              <w:t>Листа предмета на студијском програму првог нивоа, по типу предмета: (</w:t>
            </w:r>
            <w:r>
              <w:rPr>
                <w:sz w:val="22"/>
                <w:szCs w:val="22"/>
              </w:rPr>
              <w:t>Академско-општеобразовни предмети</w:t>
            </w:r>
            <w:r>
              <w:rPr>
                <w:sz w:val="22"/>
                <w:szCs w:val="22"/>
                <w:lang w:val="ru-RU"/>
              </w:rPr>
              <w:t>,</w:t>
            </w:r>
            <w:r>
              <w:rPr>
                <w:sz w:val="22"/>
                <w:szCs w:val="22"/>
              </w:rPr>
              <w:t xml:space="preserve">  Теоријско-методолошки предмети</w:t>
            </w:r>
            <w:r>
              <w:rPr>
                <w:sz w:val="22"/>
                <w:szCs w:val="22"/>
                <w:lang w:val="ru-RU"/>
              </w:rPr>
              <w:t xml:space="preserve">, </w:t>
            </w:r>
            <w:r>
              <w:rPr>
                <w:sz w:val="22"/>
                <w:szCs w:val="22"/>
              </w:rPr>
              <w:t>Научно, односно уметничко стручни</w:t>
            </w:r>
            <w:r>
              <w:rPr>
                <w:sz w:val="22"/>
                <w:szCs w:val="22"/>
                <w:lang w:val="ru-RU"/>
              </w:rPr>
              <w:t xml:space="preserve">, </w:t>
            </w:r>
            <w:r>
              <w:rPr>
                <w:sz w:val="22"/>
                <w:szCs w:val="22"/>
              </w:rPr>
              <w:t xml:space="preserve">Стручно апликативни и </w:t>
            </w:r>
            <w:r>
              <w:rPr>
                <w:sz w:val="22"/>
                <w:szCs w:val="22"/>
                <w:lang w:val="sr-CS"/>
              </w:rPr>
              <w:t>Стручни, односно уметничко-стручни предмети)</w:t>
            </w:r>
          </w:p>
          <w:p>
            <w:pPr>
              <w:pStyle w:val="Normal"/>
              <w:widowControl w:val="false"/>
              <w:jc w:val="both"/>
              <w:rPr>
                <w:bCs/>
                <w:sz w:val="22"/>
                <w:szCs w:val="22"/>
                <w:lang w:val="sr-CS"/>
              </w:rPr>
            </w:pPr>
            <w:r>
              <w:rPr>
                <w:b/>
                <w:bCs/>
                <w:sz w:val="22"/>
                <w:szCs w:val="22"/>
                <w:lang w:val="sr-CS"/>
              </w:rPr>
              <w:t>Извештај 1.</w:t>
            </w:r>
            <w:r>
              <w:rPr>
                <w:bCs/>
                <w:sz w:val="22"/>
                <w:szCs w:val="22"/>
                <w:lang w:val="sr-CS"/>
              </w:rPr>
              <w:t xml:space="preserve"> Извештај о структури студијског програма (овај извештај следи из електронског формулара и формира се након уноса и обрачуна свих података у електронском формулару) формулара).</w:t>
            </w:r>
          </w:p>
          <w:p>
            <w:pPr>
              <w:pStyle w:val="Normal"/>
              <w:widowControl w:val="false"/>
              <w:pBdr>
                <w:bottom w:val="single" w:sz="6" w:space="1" w:color="000000"/>
              </w:pBdr>
              <w:jc w:val="both"/>
              <w:rPr>
                <w:bCs/>
                <w:sz w:val="22"/>
                <w:szCs w:val="22"/>
                <w:lang w:val="sr-CS"/>
              </w:rPr>
            </w:pPr>
            <w:hyperlink r:id="rId9">
              <w:r>
                <w:rPr>
                  <w:rStyle w:val="InternetLink"/>
                  <w:b/>
                  <w:bCs/>
                  <w:sz w:val="22"/>
                  <w:szCs w:val="22"/>
                  <w:lang w:val="sr-CS"/>
                </w:rPr>
                <w:t>Блок табела  5.1.</w:t>
              </w:r>
              <w:r>
                <w:rPr>
                  <w:rStyle w:val="InternetLink"/>
                  <w:bCs/>
                  <w:sz w:val="22"/>
                  <w:szCs w:val="22"/>
                  <w:lang w:val="sr-CS"/>
                </w:rPr>
                <w:t xml:space="preserve"> </w:t>
              </w:r>
            </w:hyperlink>
            <w:r>
              <w:rPr>
                <w:bCs/>
                <w:sz w:val="22"/>
                <w:szCs w:val="22"/>
                <w:lang w:val="sr-CS"/>
              </w:rPr>
              <w:t xml:space="preserve"> Студијски програм са изборним подручјем-модулима.</w:t>
            </w:r>
          </w:p>
          <w:p>
            <w:pPr>
              <w:pStyle w:val="Normal"/>
              <w:widowControl w:val="false"/>
              <w:jc w:val="both"/>
              <w:rPr>
                <w:bCs/>
                <w:sz w:val="22"/>
                <w:szCs w:val="22"/>
                <w:lang w:val="sr-CS"/>
              </w:rPr>
            </w:pPr>
            <w:hyperlink r:id="rId10">
              <w:r>
                <w:rPr>
                  <w:rStyle w:val="InternetLink"/>
                  <w:b/>
                  <w:bCs/>
                  <w:sz w:val="22"/>
                  <w:szCs w:val="22"/>
                  <w:lang w:val="sr-CS"/>
                </w:rPr>
                <w:t>Прилог 5.1</w:t>
              </w:r>
            </w:hyperlink>
            <w:r>
              <w:rPr>
                <w:b/>
                <w:bCs/>
                <w:sz w:val="22"/>
                <w:szCs w:val="22"/>
                <w:lang w:val="sr-CS"/>
              </w:rPr>
              <w:t>.</w:t>
            </w:r>
            <w:r>
              <w:rPr>
                <w:bCs/>
                <w:sz w:val="22"/>
                <w:szCs w:val="22"/>
                <w:lang w:val="sr-CS"/>
              </w:rPr>
              <w:t xml:space="preserve"> Књига предмета</w:t>
            </w:r>
            <w:r>
              <w:rPr>
                <w:sz w:val="22"/>
                <w:szCs w:val="22"/>
                <w:lang w:val="sr-CS"/>
              </w:rPr>
              <w:t xml:space="preserve"> </w:t>
            </w:r>
            <w:r>
              <w:rPr>
                <w:bCs/>
                <w:sz w:val="22"/>
                <w:szCs w:val="22"/>
                <w:lang w:val="sr-CS"/>
              </w:rPr>
              <w:t>(у документацији  и на сајту институције).</w:t>
            </w:r>
          </w:p>
          <w:p>
            <w:pPr>
              <w:pStyle w:val="Normal"/>
              <w:widowControl w:val="false"/>
              <w:jc w:val="both"/>
              <w:rPr>
                <w:bCs/>
                <w:sz w:val="22"/>
                <w:szCs w:val="22"/>
                <w:lang w:val="sr-CS"/>
              </w:rPr>
            </w:pPr>
            <w:r>
              <w:rPr>
                <w:b/>
                <w:bCs/>
                <w:sz w:val="22"/>
                <w:szCs w:val="22"/>
                <w:lang w:val="sr-CS"/>
              </w:rPr>
              <w:t>Прилог 5.2.</w:t>
            </w:r>
            <w:r>
              <w:rPr>
                <w:bCs/>
                <w:sz w:val="22"/>
                <w:szCs w:val="22"/>
                <w:lang w:val="sr-CS"/>
              </w:rPr>
              <w:t xml:space="preserve"> Одлука о прихватању студијског програма од стране стручних органа високошколске установе.</w:t>
            </w:r>
          </w:p>
          <w:p>
            <w:pPr>
              <w:pStyle w:val="Normal"/>
              <w:widowControl w:val="false"/>
              <w:jc w:val="both"/>
              <w:rPr>
                <w:bCs/>
                <w:sz w:val="22"/>
                <w:szCs w:val="22"/>
                <w:lang w:val="sr-CS"/>
              </w:rPr>
            </w:pPr>
            <w:r>
              <w:rPr>
                <w:b/>
                <w:sz w:val="22"/>
                <w:szCs w:val="22"/>
              </w:rPr>
              <w:t>Прилог 5.3.</w:t>
            </w:r>
            <w:r>
              <w:rPr>
                <w:bCs/>
                <w:sz w:val="22"/>
                <w:szCs w:val="22"/>
                <w:lang w:val="sr-CS"/>
              </w:rPr>
              <w:t xml:space="preserve"> Програм научноистраживачког односно уметничко истраживачког рада  (уз захтев за акредитацију студијског програма другог степена, мастер акдемских студија).</w:t>
            </w:r>
          </w:p>
          <w:p>
            <w:pPr>
              <w:pStyle w:val="Normal"/>
              <w:widowControl w:val="false"/>
              <w:jc w:val="both"/>
              <w:rPr>
                <w:bCs/>
                <w:sz w:val="22"/>
                <w:szCs w:val="22"/>
                <w:lang w:val="sr-CS"/>
              </w:rPr>
            </w:pPr>
            <w:r>
              <w:rPr>
                <w:b/>
                <w:sz w:val="22"/>
                <w:szCs w:val="22"/>
              </w:rPr>
              <w:t>Прилог.5.4.</w:t>
            </w:r>
            <w:r>
              <w:rPr/>
              <w:t xml:space="preserve"> </w:t>
            </w:r>
            <w:r>
              <w:rPr>
                <w:sz w:val="22"/>
                <w:szCs w:val="22"/>
              </w:rPr>
              <w:t>Решење</w:t>
            </w:r>
            <w:r>
              <w:rPr>
                <w:bCs/>
                <w:sz w:val="22"/>
                <w:szCs w:val="22"/>
                <w:lang w:val="sr-CS"/>
              </w:rPr>
              <w:t xml:space="preserve"> о акредитацији научноистраживачке организације рада  (уз захтев за акредитацију студијског програма другог степена, мастер акдемских студија).</w:t>
            </w:r>
          </w:p>
        </w:tc>
      </w:tr>
    </w:tbl>
    <w:p>
      <w:pPr>
        <w:pStyle w:val="Normal"/>
        <w:rPr/>
      </w:pPr>
      <w:r>
        <w:rPr/>
      </w:r>
    </w:p>
    <w:sectPr>
      <w:type w:val="nextPage"/>
      <w:pgSz w:w="11906" w:h="16838"/>
      <w:pgMar w:left="1440" w:right="1440" w:header="0" w:top="1440" w:footer="0" w:bottom="144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Liberation Sans">
    <w:altName w:val="Arial"/>
    <w:charset w:val="01"/>
    <w:family w:val="roman"/>
    <w:pitch w:val="variable"/>
  </w:font>
</w:fonts>
</file>

<file path=word/settings.xml><?xml version="1.0" encoding="utf-8"?>
<w:settings xmlns:w="http://schemas.openxmlformats.org/wordprocessingml/2006/main">
  <w:zoom w:percent="90"/>
  <w:defaultTabStop w:val="720"/>
  <w:autoHyphenation w:val="true"/>
  <w:compat>
    <w:compatSetting w:name="compatibilityMode" w:uri="http://schemas.microsoft.com/office/word" w:val="12"/>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4"/>
        <w:szCs w:val="24"/>
        <w:lang w:val="en-US"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Hyperlink" w:uiPriority="0"/>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b57b72"/>
    <w:pPr>
      <w:widowControl w:val="false"/>
      <w:suppressAutoHyphens w:val="true"/>
      <w:bidi w:val="0"/>
      <w:spacing w:before="0" w:after="0"/>
      <w:jc w:val="left"/>
    </w:pPr>
    <w:rPr>
      <w:rFonts w:ascii="Times New Roman" w:hAnsi="Times New Roman" w:eastAsia="Times New Roman" w:cs="Times New Roman"/>
      <w:color w:val="auto"/>
      <w:kern w:val="0"/>
      <w:sz w:val="20"/>
      <w:szCs w:val="20"/>
      <w:lang w:val="en-GB" w:eastAsia="sr-Latn-CS" w:bidi="ar-SA"/>
    </w:rPr>
  </w:style>
  <w:style w:type="character" w:styleId="DefaultParagraphFont" w:default="1">
    <w:name w:val="Default Paragraph Font"/>
    <w:uiPriority w:val="1"/>
    <w:semiHidden/>
    <w:unhideWhenUsed/>
    <w:qFormat/>
    <w:rPr/>
  </w:style>
  <w:style w:type="character" w:styleId="InternetLink">
    <w:name w:val="Hyperlink"/>
    <w:rsid w:val="00b57b72"/>
    <w:rPr>
      <w:color w:val="0000FF"/>
      <w:u w:val="single"/>
    </w:rPr>
  </w:style>
  <w:style w:type="paragraph" w:styleId="Heading">
    <w:name w:val="Heading"/>
    <w:basedOn w:val="Normal"/>
    <w:next w:val="TextBody"/>
    <w:qFormat/>
    <w:pPr>
      <w:keepNext w:val="true"/>
      <w:spacing w:before="240" w:after="120"/>
    </w:pPr>
    <w:rPr>
      <w:rFonts w:ascii="Liberation Sans" w:hAnsi="Liberation Sans" w:eastAsia="PingFang SC" w:cs="Arial Unicode M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numbering" w:styleId="NoList" w:default="1">
    <w:name w:val="No List"/>
    <w:uiPriority w:val="99"/>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Users/Users/IlijaK/AppData/Local/Downloads/Tabele/Tabela%205.1.doc" TargetMode="External"/><Relationship Id="rId3" Type="http://schemas.openxmlformats.org/officeDocument/2006/relationships/hyperlink" Target="../../../../../C:/Users/Users/IlijaK/AppData/Local/Downloads/Tabele/Tabela%205.1a.doc" TargetMode="External"/><Relationship Id="rId4" Type="http://schemas.openxmlformats.org/officeDocument/2006/relationships/hyperlink" Target="../../../../../C:/Users/Users/IlijaK/AppData/Local/Downloads/Tabele/Tabela%205.1b.doc" TargetMode="External"/><Relationship Id="rId5" Type="http://schemas.openxmlformats.org/officeDocument/2006/relationships/hyperlink" Target="../../../../../C:/Users/Users/IlijaK/AppData/Local/Downloads/Tabele/Tabela%205.1v.doc" TargetMode="External"/><Relationship Id="rId6" Type="http://schemas.openxmlformats.org/officeDocument/2006/relationships/hyperlink" Target="../../../../../C:/Users/Users/IlijaK/AppData/Local/Downloads/Tabele/Tabela%205.2.doc" TargetMode="External"/><Relationship Id="rId7" Type="http://schemas.openxmlformats.org/officeDocument/2006/relationships/hyperlink" Target="../../../../../C:/Users/Users/IlijaK/AppData/Local/Downloads/Tabele/Tabela%205.3.doc" TargetMode="External"/><Relationship Id="rId8" Type="http://schemas.openxmlformats.org/officeDocument/2006/relationships/hyperlink" Target="../../../../../C:/Users/Users/IlijaK/AppData/Local/Downloads/Tabele/Tabela%205.4.doc" TargetMode="External"/><Relationship Id="rId9" Type="http://schemas.openxmlformats.org/officeDocument/2006/relationships/hyperlink" Target="../../../../../C:/Users/Users/IlijaK/AppData/Local/Downloads/Tabele/Blok%20tabela%205.doc" TargetMode="External"/><Relationship Id="rId10" Type="http://schemas.openxmlformats.org/officeDocument/2006/relationships/hyperlink" Target="../../../../../H:/1.1.1.1.%20Uputstva%20KAPK/KAPK%20Sva%20Uputstva%20i%20ostalo/Uputstvo%20za%20pripremu%20dokumentacije%20za%20SP%20I%20i%20II/Tabele/Tabela%205.2.doc" TargetMode="Externa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Application>LibreOffice/7.1.3.2$MacOSX_X86_64 LibreOffice_project/47f78053abe362b9384784d31a6e56f8511eb1c1</Application>
  <AppVersion>15.0000</AppVersion>
  <Pages>2</Pages>
  <Words>545</Words>
  <Characters>3220</Characters>
  <CharactersWithSpaces>3758</CharactersWithSpaces>
  <Paragraphs>23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2021-06-14T11:34:00Z</dcterms:created>
  <dc:creator>Dušan Pavlović</dc:creator>
  <dc:description/>
  <dc:language>en-US</dc:language>
  <cp:lastModifiedBy/>
  <cp:lastPrinted>2021-06-15T11:31:13Z</cp:lastPrinted>
  <dcterms:modified xsi:type="dcterms:W3CDTF">2021-06-15T15:44:56Z</dcterms:modified>
  <cp:revision>7</cp:revision>
  <dc:subject/>
  <dc:title/>
</cp:coreProperties>
</file>

<file path=docProps/custom.xml><?xml version="1.0" encoding="utf-8"?>
<Properties xmlns="http://schemas.openxmlformats.org/officeDocument/2006/custom-properties" xmlns:vt="http://schemas.openxmlformats.org/officeDocument/2006/docPropsVTypes"/>
</file>